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sz w:val="72"/>
          <w:szCs w:val="72"/>
        </w:rPr>
      </w:pPr>
      <w:r>
        <w:rPr>
          <w:rFonts w:cs="Times New Roman" w:ascii="Times New Roman" w:hAnsi="Times New Roman"/>
          <w:b/>
          <w:sz w:val="72"/>
          <w:szCs w:val="72"/>
        </w:rPr>
        <w:t>И Н Ф О Р М А Ц И Я</w:t>
      </w:r>
    </w:p>
    <w:p>
      <w:pPr>
        <w:pStyle w:val="Normal"/>
        <w:jc w:val="both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 w:val="false"/>
          <w:bCs w:val="false"/>
          <w:sz w:val="32"/>
          <w:szCs w:val="32"/>
        </w:rPr>
        <w:t xml:space="preserve">О решениях, принятых на </w:t>
      </w:r>
      <w:r>
        <w:rPr>
          <w:rFonts w:cs="Times New Roman" w:ascii="Times New Roman" w:hAnsi="Times New Roman"/>
          <w:b w:val="false"/>
          <w:bCs w:val="false"/>
          <w:sz w:val="32"/>
          <w:szCs w:val="32"/>
        </w:rPr>
        <w:t xml:space="preserve">общем </w:t>
      </w:r>
      <w:r>
        <w:rPr>
          <w:rFonts w:cs="Times New Roman" w:ascii="Times New Roman" w:hAnsi="Times New Roman"/>
          <w:b w:val="false"/>
          <w:bCs w:val="false"/>
          <w:sz w:val="32"/>
          <w:szCs w:val="32"/>
        </w:rPr>
        <w:t xml:space="preserve">собрании </w:t>
      </w:r>
      <w:r>
        <w:rPr>
          <w:rFonts w:cs="Times New Roman" w:ascii="Times New Roman" w:hAnsi="Times New Roman"/>
          <w:b w:val="false"/>
          <w:bCs w:val="false"/>
          <w:sz w:val="32"/>
          <w:szCs w:val="32"/>
        </w:rPr>
        <w:t>в форме очно-заочного голосования</w:t>
      </w:r>
      <w:r>
        <w:rPr>
          <w:rFonts w:cs="Times New Roman" w:ascii="Times New Roman" w:hAnsi="Times New Roman"/>
          <w:b w:val="false"/>
          <w:bCs w:val="false"/>
          <w:sz w:val="32"/>
          <w:szCs w:val="32"/>
        </w:rPr>
        <w:t xml:space="preserve"> </w:t>
      </w:r>
      <w:r>
        <w:rPr>
          <w:rFonts w:cs="Times New Roman" w:ascii="Times New Roman" w:hAnsi="Times New Roman"/>
          <w:b w:val="false"/>
          <w:bCs w:val="false"/>
          <w:sz w:val="32"/>
          <w:szCs w:val="32"/>
        </w:rPr>
        <w:t xml:space="preserve">ТСН </w:t>
      </w:r>
      <w:r>
        <w:rPr>
          <w:rFonts w:cs="Times New Roman" w:ascii="Times New Roman" w:hAnsi="Times New Roman"/>
          <w:b w:val="false"/>
          <w:bCs w:val="false"/>
          <w:sz w:val="32"/>
          <w:szCs w:val="32"/>
        </w:rPr>
        <w:t>СНТ «</w:t>
      </w:r>
      <w:r>
        <w:rPr>
          <w:rFonts w:cs="Times New Roman" w:ascii="Times New Roman" w:hAnsi="Times New Roman"/>
          <w:b w:val="false"/>
          <w:bCs w:val="false"/>
          <w:sz w:val="32"/>
          <w:szCs w:val="32"/>
        </w:rPr>
        <w:t xml:space="preserve">Родник»                                 </w:t>
      </w:r>
      <w:r>
        <w:rPr>
          <w:rFonts w:cs="Times New Roman" w:ascii="Times New Roman" w:hAnsi="Times New Roman"/>
          <w:b w:val="false"/>
          <w:bCs w:val="false"/>
          <w:sz w:val="32"/>
          <w:szCs w:val="32"/>
        </w:rPr>
        <w:t>2</w:t>
      </w:r>
      <w:r>
        <w:rPr>
          <w:rFonts w:cs="Times New Roman" w:ascii="Times New Roman" w:hAnsi="Times New Roman"/>
          <w:b w:val="false"/>
          <w:bCs w:val="false"/>
          <w:sz w:val="32"/>
          <w:szCs w:val="32"/>
        </w:rPr>
        <w:t>0-28</w:t>
      </w:r>
      <w:r>
        <w:rPr>
          <w:rFonts w:cs="Times New Roman" w:ascii="Times New Roman" w:hAnsi="Times New Roman"/>
          <w:b w:val="false"/>
          <w:bCs w:val="false"/>
          <w:sz w:val="32"/>
          <w:szCs w:val="32"/>
        </w:rPr>
        <w:t xml:space="preserve"> </w:t>
      </w:r>
      <w:r>
        <w:rPr>
          <w:rFonts w:cs="Times New Roman" w:ascii="Times New Roman" w:hAnsi="Times New Roman"/>
          <w:b w:val="false"/>
          <w:bCs w:val="false"/>
          <w:sz w:val="32"/>
          <w:szCs w:val="32"/>
        </w:rPr>
        <w:t>марта</w:t>
      </w:r>
      <w:r>
        <w:rPr>
          <w:rFonts w:cs="Times New Roman" w:ascii="Times New Roman" w:hAnsi="Times New Roman"/>
          <w:b w:val="false"/>
          <w:bCs w:val="false"/>
          <w:sz w:val="32"/>
          <w:szCs w:val="32"/>
        </w:rPr>
        <w:t xml:space="preserve"> 20</w:t>
      </w:r>
      <w:r>
        <w:rPr>
          <w:rFonts w:cs="Times New Roman" w:ascii="Times New Roman" w:hAnsi="Times New Roman"/>
          <w:b w:val="false"/>
          <w:bCs w:val="false"/>
          <w:sz w:val="32"/>
          <w:szCs w:val="32"/>
        </w:rPr>
        <w:t xml:space="preserve">26 </w:t>
      </w:r>
      <w:r>
        <w:rPr>
          <w:rFonts w:cs="Times New Roman" w:ascii="Times New Roman" w:hAnsi="Times New Roman"/>
          <w:b w:val="false"/>
          <w:bCs w:val="false"/>
          <w:sz w:val="32"/>
          <w:szCs w:val="32"/>
        </w:rPr>
        <w:t xml:space="preserve">года. </w:t>
      </w:r>
      <w:r>
        <w:rPr>
          <w:rFonts w:cs="Times New Roman" w:ascii="Times New Roman" w:hAnsi="Times New Roman"/>
          <w:b w:val="false"/>
          <w:bCs w:val="false"/>
          <w:sz w:val="32"/>
          <w:szCs w:val="32"/>
        </w:rPr>
        <w:t>В</w:t>
      </w:r>
      <w:r>
        <w:rPr>
          <w:rFonts w:cs="Times New Roman" w:ascii="Times New Roman" w:hAnsi="Times New Roman"/>
          <w:b w:val="false"/>
          <w:bCs w:val="false"/>
          <w:sz w:val="32"/>
          <w:szCs w:val="32"/>
        </w:rPr>
        <w:t xml:space="preserve"> собрании </w:t>
      </w:r>
      <w:r>
        <w:rPr>
          <w:rFonts w:cs="Times New Roman" w:ascii="Times New Roman" w:hAnsi="Times New Roman"/>
          <w:b w:val="false"/>
          <w:bCs w:val="false"/>
          <w:sz w:val="32"/>
          <w:szCs w:val="32"/>
        </w:rPr>
        <w:t xml:space="preserve">приняли участие 31 из 37 членов СНТ (83,78%) </w:t>
      </w:r>
    </w:p>
    <w:p>
      <w:pPr>
        <w:pStyle w:val="ListParagraph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44"/>
          <w:szCs w:val="44"/>
        </w:rPr>
        <w:t>Приняты решения</w:t>
      </w:r>
      <w:r>
        <w:rPr>
          <w:rFonts w:cs="Times New Roman" w:ascii="Times New Roman" w:hAnsi="Times New Roman"/>
          <w:b/>
          <w:sz w:val="32"/>
          <w:szCs w:val="32"/>
        </w:rPr>
        <w:t>:</w:t>
      </w:r>
    </w:p>
    <w:p>
      <w:pPr>
        <w:pStyle w:val="ListParagraph"/>
        <w:widowControl/>
        <w:numPr>
          <w:ilvl w:val="0"/>
          <w:numId w:val="1"/>
        </w:numPr>
        <w:bidi w:val="0"/>
        <w:spacing w:lineRule="auto" w:line="276" w:before="0" w:after="200"/>
        <w:ind w:left="907" w:right="0" w:hanging="340"/>
        <w:contextualSpacing/>
        <w:jc w:val="both"/>
        <w:rPr>
          <w:b w:val="false"/>
          <w:b w:val="false"/>
          <w:bCs w:val="false"/>
        </w:rPr>
      </w:pPr>
      <w:r>
        <w:rPr>
          <w:rFonts w:eastAsia="Times New Roman" w:cs="Times New Roman" w:ascii="Times New Roman" w:hAnsi="Times New Roman"/>
          <w:b w:val="false"/>
          <w:bCs w:val="false"/>
          <w:sz w:val="32"/>
          <w:szCs w:val="32"/>
        </w:rPr>
        <w:t xml:space="preserve">Избрать председательствующим и секретарем собрания Борина А.Н., </w:t>
      </w:r>
      <w:r>
        <w:rPr>
          <w:rFonts w:eastAsia="Times New Roman" w:cs="Times New Roman" w:ascii="Times New Roman" w:hAnsi="Times New Roman"/>
          <w:b w:val="false"/>
          <w:bCs w:val="false"/>
          <w:sz w:val="32"/>
          <w:szCs w:val="32"/>
        </w:rPr>
        <w:t>И</w:t>
      </w:r>
      <w:r>
        <w:rPr>
          <w:rFonts w:eastAsia="Times New Roman" w:cs="Times New Roman" w:ascii="Times New Roman" w:hAnsi="Times New Roman"/>
          <w:b w:val="false"/>
          <w:bCs w:val="false"/>
          <w:sz w:val="32"/>
          <w:szCs w:val="32"/>
        </w:rPr>
        <w:t xml:space="preserve">збрать Счетную Комиссию в составе: Панова Е.Г., Паршина И.В., Сусоров А.А.  </w:t>
      </w:r>
      <w:r>
        <w:rPr>
          <w:rFonts w:eastAsia="Times New Roman" w:cs="Times New Roman" w:ascii="Times New Roman" w:hAnsi="Times New Roman"/>
          <w:b w:val="false"/>
          <w:bCs w:val="false"/>
          <w:sz w:val="32"/>
          <w:szCs w:val="32"/>
        </w:rPr>
        <w:t>ЗА</w:t>
      </w:r>
      <w:r>
        <w:rPr>
          <w:rFonts w:eastAsia="Times New Roman" w:cs="Times New Roman" w:ascii="Times New Roman" w:hAnsi="Times New Roman"/>
          <w:b w:val="false"/>
          <w:bCs w:val="false"/>
          <w:sz w:val="32"/>
          <w:szCs w:val="32"/>
        </w:rPr>
        <w:t>: 531,58 голоса (91,81 %).</w:t>
      </w:r>
    </w:p>
    <w:p>
      <w:pPr>
        <w:pStyle w:val="ListParagraph"/>
        <w:widowControl/>
        <w:numPr>
          <w:ilvl w:val="0"/>
          <w:numId w:val="1"/>
        </w:numPr>
        <w:bidi w:val="0"/>
        <w:spacing w:lineRule="auto" w:line="276" w:before="0" w:after="200"/>
        <w:ind w:left="907" w:right="0" w:hanging="340"/>
        <w:contextualSpacing/>
        <w:jc w:val="both"/>
        <w:rPr>
          <w:b w:val="false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sz w:val="32"/>
          <w:szCs w:val="32"/>
        </w:rPr>
        <w:t xml:space="preserve">Установить срок отчета об итогах ревизии за период 2024-2025 гг. - не позднее 12.07.2026 г.                       </w:t>
      </w:r>
      <w:r>
        <w:rPr>
          <w:rFonts w:cs="Times New Roman" w:ascii="Times New Roman" w:hAnsi="Times New Roman"/>
          <w:b w:val="false"/>
          <w:bCs w:val="false"/>
          <w:sz w:val="32"/>
          <w:szCs w:val="32"/>
        </w:rPr>
        <w:t>ЗА: 470,66 голосов (81,29%).</w:t>
      </w:r>
    </w:p>
    <w:p>
      <w:pPr>
        <w:pStyle w:val="ListParagraph"/>
        <w:widowControl/>
        <w:numPr>
          <w:ilvl w:val="0"/>
          <w:numId w:val="1"/>
        </w:numPr>
        <w:bidi w:val="0"/>
        <w:spacing w:lineRule="auto" w:line="276" w:before="0" w:after="200"/>
        <w:ind w:left="907" w:right="0" w:hanging="340"/>
        <w:contextualSpacing/>
        <w:jc w:val="both"/>
        <w:rPr>
          <w:b w:val="false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sz w:val="32"/>
          <w:szCs w:val="32"/>
        </w:rPr>
        <w:t xml:space="preserve">Утвердить отчеты Пановой Е.Г., Паршиной И.В., Сусорова А.А.  ЗА: 464,4 голосов (80,21%) </w:t>
      </w:r>
    </w:p>
    <w:p>
      <w:pPr>
        <w:pStyle w:val="ListParagraph"/>
        <w:widowControl/>
        <w:numPr>
          <w:ilvl w:val="0"/>
          <w:numId w:val="1"/>
        </w:numPr>
        <w:bidi w:val="0"/>
        <w:spacing w:lineRule="auto" w:line="276" w:before="0" w:after="200"/>
        <w:ind w:left="907" w:right="0" w:hanging="340"/>
        <w:contextualSpacing/>
        <w:jc w:val="both"/>
        <w:rPr>
          <w:b w:val="false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sz w:val="32"/>
          <w:szCs w:val="32"/>
        </w:rPr>
        <w:t>Утвердить состав территории и нумерацию участков ТСН СНТ «Родник» общей площадью 292641 кв. м, в том числе: земельные участки для ведения садоводства и огородничества (далее — Список участков) согласно приложению 1 к протоколу, общей площадью 233716 кв.м; земли общего пользования: участки с кадастровыми номерами 50:08:0070331:321 (площадью 30914 кв. м) и 50:08:0070331:337 (площадью 28011 кв. м). ЗА: 444,99 голосов (68,36%).</w:t>
      </w:r>
    </w:p>
    <w:p>
      <w:pPr>
        <w:pStyle w:val="ListParagraph"/>
        <w:widowControl/>
        <w:numPr>
          <w:ilvl w:val="0"/>
          <w:numId w:val="1"/>
        </w:numPr>
        <w:bidi w:val="0"/>
        <w:spacing w:lineRule="auto" w:line="276" w:before="0" w:after="200"/>
        <w:ind w:left="907" w:right="0" w:hanging="340"/>
        <w:contextualSpacing/>
        <w:jc w:val="both"/>
        <w:rPr/>
      </w:pPr>
      <w:r>
        <w:rPr>
          <w:rFonts w:cs="Times New Roman" w:ascii="Times New Roman" w:hAnsi="Times New Roman"/>
          <w:b w:val="false"/>
          <w:bCs w:val="false"/>
          <w:sz w:val="32"/>
          <w:szCs w:val="32"/>
        </w:rPr>
        <w:t>В срок не позднее 90 рабочих дней с даты принятия настоящего решения подготовить проект изменений в Устав Товарищества, предусматривающий отражение утвержденных границ территории Товарищества, а также порядок нумерации участков в соответствии с Приложением. Разработать описание порядка использования территории и схему движения транспорта на территории поселка, согласно утвержденному Списку участков. Организовать процедуру утверждения изменений в Устав в порядке, предусмотренном действующим законодательством и Уставом Товарищества. Направить уведомление в орган местного самоуправления, уполномоченный на согласование градостроительной документации. Подготовить и подать в орган регистрации прав (Росреестр) заявление о внесении изменений в сведения Единого государственного реестра недвижимости (ЕГРН) в части границ территории Товарищества и нумерации участков. Обеспечить сопровождение процедуры государственной регистрации изменений в ЕГРН, включая представление дополнительных документов по запросу регистрирующего органа. Расходы, связанные с подготовкой документов, уплатой государственной пошлины и иными затратами, возникающими при реализации настоящего решения, отнести за счет целевых взносов членов Товарищества в порядке, установленном решением общего собрания. Настоящее решение вступает в силу с момента его принятия общим собранием и действует до исполнения предусмотренных им мероприятий. ЗА: 373,56 голосов (64,52%).</w:t>
      </w:r>
    </w:p>
    <w:p>
      <w:pPr>
        <w:pStyle w:val="ListParagraph"/>
        <w:widowControl/>
        <w:numPr>
          <w:ilvl w:val="0"/>
          <w:numId w:val="1"/>
        </w:numPr>
        <w:bidi w:val="0"/>
        <w:spacing w:lineRule="auto" w:line="276" w:before="0" w:after="200"/>
        <w:ind w:left="907" w:right="0" w:hanging="340"/>
        <w:contextualSpacing/>
        <w:jc w:val="both"/>
        <w:rPr/>
      </w:pPr>
      <w:r>
        <w:rPr>
          <w:rFonts w:cs="Times New Roman" w:ascii="Times New Roman" w:hAnsi="Times New Roman"/>
          <w:b w:val="false"/>
          <w:bCs w:val="false"/>
          <w:sz w:val="32"/>
          <w:szCs w:val="32"/>
        </w:rPr>
        <w:t>Одобрить льготу по оплате членского взноса для владельцев участков с обременением по охранной зоне объекта «Газовая распределительная сеть от ГРС «Рычково», при одновременном выполнении следующих условий: предоставления заявления владельца с подтверждением площади зоны обременения участка и отсутствия задолженности перед Товариществом, подтвержденного актом сверки. Установить формулу расчета льготы в зависимости от площади зоны обременения: L = Sобр x N x E/2, где L – размер членского взноса, в рублях; Sобр – площадь обременения в квадратных метрах, N – доля владения участком (от 0 до 1, например ½, ⅓ и т.д.); E - расчетная единица взноса, руб./кв.м                        ЗА: 478,20 голосов (73,46%).</w:t>
      </w:r>
    </w:p>
    <w:p>
      <w:pPr>
        <w:pStyle w:val="ListParagraph"/>
        <w:widowControl/>
        <w:numPr>
          <w:ilvl w:val="0"/>
          <w:numId w:val="1"/>
        </w:numPr>
        <w:bidi w:val="0"/>
        <w:spacing w:lineRule="auto" w:line="276" w:before="0" w:after="200"/>
        <w:ind w:left="907" w:right="0" w:hanging="340"/>
        <w:contextualSpacing/>
        <w:jc w:val="both"/>
        <w:rPr/>
      </w:pPr>
      <w:r>
        <w:rPr>
          <w:rFonts w:cs="Times New Roman" w:ascii="Times New Roman" w:hAnsi="Times New Roman"/>
          <w:b w:val="false"/>
          <w:bCs w:val="false"/>
          <w:sz w:val="32"/>
          <w:szCs w:val="32"/>
        </w:rPr>
        <w:t>Утвердить Положение о порядке проезда и прохода на территорию ТСН СНТ «Родник».                                            ЗА: 385,04 голосов (66,50%).</w:t>
      </w:r>
    </w:p>
    <w:p>
      <w:pPr>
        <w:pStyle w:val="ListParagraph"/>
        <w:widowControl/>
        <w:numPr>
          <w:ilvl w:val="0"/>
          <w:numId w:val="1"/>
        </w:numPr>
        <w:bidi w:val="0"/>
        <w:spacing w:lineRule="auto" w:line="276" w:before="0" w:after="200"/>
        <w:ind w:left="907" w:right="0" w:hanging="340"/>
        <w:contextualSpacing/>
        <w:jc w:val="both"/>
        <w:rPr/>
      </w:pPr>
      <w:r>
        <w:rPr>
          <w:rFonts w:cs="Times New Roman" w:ascii="Times New Roman" w:hAnsi="Times New Roman"/>
          <w:b w:val="false"/>
          <w:bCs w:val="false"/>
          <w:sz w:val="32"/>
          <w:szCs w:val="32"/>
        </w:rPr>
        <w:t>Начислить владельцу участка 50:08:0070331:274 плату за пользование и развитие инфраструктуры, равной сумме членских и целевых взносов Товарищества, начиная с даты 29.11.2022 г. Правлению в срок до 28.04.2026 г. подготовить акт сверки, дальнейшие действия производить в соответствии с Положением о взносах Товарищества. Не начислять пени за период с 29.11.2022 г. по 28.03.2026 г. за несвоевременную оплату в размере членских взносов. ЗА: 335,70 голосов (57,98%).</w:t>
      </w:r>
    </w:p>
    <w:sectPr>
      <w:type w:val="nextPage"/>
      <w:pgSz w:orient="landscape" w:w="16838" w:h="11906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"/>
      <w:lvlJc w:val="left"/>
      <w:pPr>
        <w:tabs>
          <w:tab w:val="num" w:pos="1600"/>
        </w:tabs>
        <w:ind w:left="160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960"/>
        </w:tabs>
        <w:ind w:left="1960" w:hanging="360"/>
      </w:pPr>
      <w:rPr/>
    </w:lvl>
    <w:lvl w:ilvl="2">
      <w:start w:val="1"/>
      <w:numFmt w:val="decimal"/>
      <w:lvlText w:val="%3."/>
      <w:lvlJc w:val="left"/>
      <w:pPr>
        <w:tabs>
          <w:tab w:val="num" w:pos="2320"/>
        </w:tabs>
        <w:ind w:left="2320" w:hanging="360"/>
      </w:pPr>
      <w:rPr/>
    </w:lvl>
    <w:lvl w:ilvl="3">
      <w:start w:val="1"/>
      <w:numFmt w:val="decimal"/>
      <w:lvlText w:val="%4."/>
      <w:lvlJc w:val="left"/>
      <w:pPr>
        <w:tabs>
          <w:tab w:val="num" w:pos="2680"/>
        </w:tabs>
        <w:ind w:left="2680" w:hanging="360"/>
      </w:pPr>
      <w:rPr/>
    </w:lvl>
    <w:lvl w:ilvl="4">
      <w:start w:val="1"/>
      <w:numFmt w:val="decimal"/>
      <w:lvlText w:val="%5."/>
      <w:lvlJc w:val="left"/>
      <w:pPr>
        <w:tabs>
          <w:tab w:val="num" w:pos="3040"/>
        </w:tabs>
        <w:ind w:left="3040" w:hanging="360"/>
      </w:pPr>
      <w:rPr/>
    </w:lvl>
    <w:lvl w:ilvl="5">
      <w:start w:val="1"/>
      <w:numFmt w:val="decimal"/>
      <w:lvlText w:val="%6."/>
      <w:lvlJc w:val="left"/>
      <w:pPr>
        <w:tabs>
          <w:tab w:val="num" w:pos="3400"/>
        </w:tabs>
        <w:ind w:left="3400" w:hanging="360"/>
      </w:pPr>
      <w:rPr/>
    </w:lvl>
    <w:lvl w:ilvl="6">
      <w:start w:val="1"/>
      <w:numFmt w:val="decimal"/>
      <w:lvlText w:val="%7."/>
      <w:lvlJc w:val="left"/>
      <w:pPr>
        <w:tabs>
          <w:tab w:val="num" w:pos="3760"/>
        </w:tabs>
        <w:ind w:left="3760" w:hanging="360"/>
      </w:pPr>
      <w:rPr/>
    </w:lvl>
    <w:lvl w:ilvl="7">
      <w:start w:val="1"/>
      <w:numFmt w:val="decimal"/>
      <w:lvlText w:val="%8."/>
      <w:lvlJc w:val="left"/>
      <w:pPr>
        <w:tabs>
          <w:tab w:val="num" w:pos="4120"/>
        </w:tabs>
        <w:ind w:left="4120" w:hanging="360"/>
      </w:pPr>
      <w:rPr/>
    </w:lvl>
    <w:lvl w:ilvl="8">
      <w:start w:val="1"/>
      <w:numFmt w:val="decimal"/>
      <w:lvlText w:val="%9."/>
      <w:lvlJc w:val="left"/>
      <w:pPr>
        <w:tabs>
          <w:tab w:val="num" w:pos="4480"/>
        </w:tabs>
        <w:ind w:left="448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b2669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Символ нумерации"/>
    <w:qFormat/>
    <w:rPr/>
  </w:style>
  <w:style w:type="character" w:styleId="Style15">
    <w:name w:val="Маркеры"/>
    <w:qFormat/>
    <w:rPr>
      <w:rFonts w:ascii="OpenSymbol" w:hAnsi="OpenSymbol" w:eastAsia="OpenSymbol" w:cs="OpenSymbol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b57d47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4D5E20-D1B6-4484-AE28-2220A1AEC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Application>LibreOffice/7.0.3.1$Windows_X86_64 LibreOffice_project/d7547858d014d4cf69878db179d326fc3483e082</Application>
  <Pages>2</Pages>
  <Words>503</Words>
  <Characters>3220</Characters>
  <CharactersWithSpaces>3831</CharactersWithSpaces>
  <Paragraphs>11</Paragraphs>
  <Company>BLACK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2020-03-13T15:00:00Z</dcterms:created>
  <dc:creator>LAZAR</dc:creator>
  <dc:description/>
  <dc:language>ru-RU</dc:language>
  <cp:lastModifiedBy/>
  <cp:lastPrinted>2017-06-26T07:57:00Z</cp:lastPrinted>
  <dcterms:modified xsi:type="dcterms:W3CDTF">2026-06-19T17:14:54Z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BLACK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